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352" w:type="dxa"/>
        <w:tblLook w:val="04A0" w:firstRow="1" w:lastRow="0" w:firstColumn="1" w:lastColumn="0" w:noHBand="0" w:noVBand="1"/>
      </w:tblPr>
      <w:tblGrid>
        <w:gridCol w:w="4907"/>
        <w:gridCol w:w="4445"/>
      </w:tblGrid>
      <w:tr w:rsidR="00750CAB" w14:paraId="4DD9EE3C" w14:textId="77777777" w:rsidTr="008D4A3A">
        <w:trPr>
          <w:trHeight w:val="565"/>
        </w:trPr>
        <w:tc>
          <w:tcPr>
            <w:tcW w:w="4675" w:type="dxa"/>
          </w:tcPr>
          <w:p w14:paraId="3E765FFC" w14:textId="77777777" w:rsidR="00DB5B46" w:rsidRDefault="00DB5B46"/>
          <w:p w14:paraId="5E4D1DB0" w14:textId="77777777" w:rsidR="00DB5B46" w:rsidRPr="0037013C" w:rsidRDefault="000F0E2C" w:rsidP="000F0E2C">
            <w:pPr>
              <w:jc w:val="center"/>
              <w:rPr>
                <w:b/>
                <w:bCs/>
                <w:sz w:val="32"/>
                <w:szCs w:val="32"/>
              </w:rPr>
            </w:pPr>
            <w:r w:rsidRPr="0037013C">
              <w:rPr>
                <w:b/>
                <w:bCs/>
                <w:sz w:val="36"/>
                <w:szCs w:val="36"/>
              </w:rPr>
              <w:t>Regulamin Surf-</w:t>
            </w:r>
            <w:proofErr w:type="spellStart"/>
            <w:r w:rsidRPr="0037013C">
              <w:rPr>
                <w:b/>
                <w:bCs/>
                <w:sz w:val="36"/>
                <w:szCs w:val="36"/>
              </w:rPr>
              <w:t>Air</w:t>
            </w:r>
            <w:proofErr w:type="spellEnd"/>
          </w:p>
        </w:tc>
        <w:tc>
          <w:tcPr>
            <w:tcW w:w="4677" w:type="dxa"/>
          </w:tcPr>
          <w:p w14:paraId="4F78CC4B" w14:textId="77777777" w:rsidR="0037013C" w:rsidRPr="0037013C" w:rsidRDefault="0037013C" w:rsidP="0037013C">
            <w:pPr>
              <w:jc w:val="center"/>
              <w:rPr>
                <w:b/>
                <w:bCs/>
              </w:rPr>
            </w:pPr>
          </w:p>
          <w:p w14:paraId="68422D8A" w14:textId="77777777" w:rsidR="0037013C" w:rsidRPr="0037013C" w:rsidRDefault="0037013C" w:rsidP="0037013C">
            <w:pPr>
              <w:jc w:val="center"/>
              <w:rPr>
                <w:b/>
                <w:bCs/>
                <w:sz w:val="36"/>
                <w:szCs w:val="36"/>
              </w:rPr>
            </w:pPr>
            <w:r w:rsidRPr="0037013C">
              <w:rPr>
                <w:b/>
                <w:bCs/>
                <w:sz w:val="36"/>
                <w:szCs w:val="36"/>
              </w:rPr>
              <w:t>Surf-</w:t>
            </w:r>
            <w:proofErr w:type="spellStart"/>
            <w:r w:rsidRPr="0037013C">
              <w:rPr>
                <w:b/>
                <w:bCs/>
                <w:sz w:val="36"/>
                <w:szCs w:val="36"/>
              </w:rPr>
              <w:t>Air</w:t>
            </w:r>
            <w:proofErr w:type="spellEnd"/>
            <w:r w:rsidRPr="0037013C">
              <w:rPr>
                <w:b/>
                <w:bCs/>
                <w:sz w:val="36"/>
                <w:szCs w:val="36"/>
              </w:rPr>
              <w:t xml:space="preserve"> </w:t>
            </w:r>
            <w:proofErr w:type="spellStart"/>
            <w:r w:rsidRPr="0037013C">
              <w:rPr>
                <w:b/>
                <w:bCs/>
                <w:sz w:val="36"/>
                <w:szCs w:val="36"/>
              </w:rPr>
              <w:t>Regulations</w:t>
            </w:r>
            <w:proofErr w:type="spellEnd"/>
          </w:p>
        </w:tc>
      </w:tr>
      <w:tr w:rsidR="00750CAB" w:rsidRPr="003650B5" w14:paraId="742F9C5A" w14:textId="77777777" w:rsidTr="002C0C66">
        <w:trPr>
          <w:trHeight w:val="1540"/>
        </w:trPr>
        <w:tc>
          <w:tcPr>
            <w:tcW w:w="4675" w:type="dxa"/>
          </w:tcPr>
          <w:p w14:paraId="3C954B3D" w14:textId="77777777" w:rsidR="00DB5B46" w:rsidRPr="009045F9" w:rsidRDefault="00EB131C" w:rsidP="006F0B7E">
            <w:pPr>
              <w:pStyle w:val="Akapitzlist"/>
              <w:numPr>
                <w:ilvl w:val="0"/>
                <w:numId w:val="1"/>
              </w:numPr>
              <w:rPr>
                <w:rFonts w:cs="Times New Roman"/>
              </w:rPr>
            </w:pPr>
            <w:r w:rsidRPr="009045F9">
              <w:rPr>
                <w:rFonts w:cs="Times New Roman"/>
              </w:rPr>
              <w:t>Surf-</w:t>
            </w:r>
            <w:proofErr w:type="spellStart"/>
            <w:r w:rsidRPr="009045F9">
              <w:rPr>
                <w:rFonts w:cs="Times New Roman"/>
              </w:rPr>
              <w:t>Air</w:t>
            </w:r>
            <w:proofErr w:type="spellEnd"/>
            <w:r w:rsidRPr="009045F9">
              <w:rPr>
                <w:rFonts w:cs="Times New Roman"/>
              </w:rPr>
              <w:t xml:space="preserve"> jest</w:t>
            </w:r>
            <w:r w:rsidR="006F0B7E" w:rsidRPr="009045F9">
              <w:rPr>
                <w:rFonts w:cs="Times New Roman"/>
              </w:rPr>
              <w:t xml:space="preserve"> </w:t>
            </w:r>
            <w:r w:rsidR="009045F9" w:rsidRPr="009045F9">
              <w:rPr>
                <w:rFonts w:cs="Times New Roman"/>
              </w:rPr>
              <w:t>symulatorem</w:t>
            </w:r>
            <w:r w:rsidRPr="009045F9">
              <w:rPr>
                <w:rFonts w:cs="Times New Roman"/>
              </w:rPr>
              <w:t xml:space="preserve"> umożliwiając</w:t>
            </w:r>
            <w:r w:rsidR="009045F9" w:rsidRPr="009045F9">
              <w:rPr>
                <w:rFonts w:cs="Times New Roman"/>
              </w:rPr>
              <w:t>ym</w:t>
            </w:r>
            <w:r w:rsidRPr="009045F9">
              <w:rPr>
                <w:rFonts w:cs="Times New Roman"/>
              </w:rPr>
              <w:t xml:space="preserve"> uprawianie </w:t>
            </w:r>
            <w:proofErr w:type="spellStart"/>
            <w:r w:rsidRPr="009045F9">
              <w:rPr>
                <w:rFonts w:cs="Times New Roman"/>
              </w:rPr>
              <w:t>Bodyboardingu</w:t>
            </w:r>
            <w:proofErr w:type="spellEnd"/>
            <w:r w:rsidRPr="009045F9">
              <w:rPr>
                <w:rFonts w:cs="Times New Roman"/>
              </w:rPr>
              <w:t xml:space="preserve"> i </w:t>
            </w:r>
            <w:proofErr w:type="spellStart"/>
            <w:r w:rsidRPr="009045F9">
              <w:rPr>
                <w:rFonts w:cs="Times New Roman"/>
              </w:rPr>
              <w:t>Flowboardingu</w:t>
            </w:r>
            <w:proofErr w:type="spellEnd"/>
            <w:r w:rsidRPr="009045F9">
              <w:rPr>
                <w:rFonts w:cs="Times New Roman"/>
              </w:rPr>
              <w:t xml:space="preserve"> w bezpiecznych warunkach, pod opieką odpowiednio przeszkolonych </w:t>
            </w:r>
            <w:r w:rsidR="0037013C" w:rsidRPr="009045F9">
              <w:rPr>
                <w:rFonts w:cs="Times New Roman"/>
              </w:rPr>
              <w:t>instruktorów</w:t>
            </w:r>
            <w:r w:rsidRPr="009045F9">
              <w:rPr>
                <w:rFonts w:cs="Times New Roman"/>
              </w:rPr>
              <w:t xml:space="preserve"> </w:t>
            </w:r>
          </w:p>
        </w:tc>
        <w:tc>
          <w:tcPr>
            <w:tcW w:w="4677" w:type="dxa"/>
          </w:tcPr>
          <w:p w14:paraId="46743C06" w14:textId="77777777" w:rsidR="00DB5B46" w:rsidRPr="009045F9" w:rsidRDefault="0037013C" w:rsidP="0037013C">
            <w:pPr>
              <w:pStyle w:val="Akapitzlist"/>
              <w:numPr>
                <w:ilvl w:val="0"/>
                <w:numId w:val="1"/>
              </w:numPr>
              <w:rPr>
                <w:lang w:val="en-US"/>
              </w:rPr>
            </w:pPr>
            <w:r w:rsidRPr="009045F9">
              <w:rPr>
                <w:lang w:val="en-US"/>
              </w:rPr>
              <w:t xml:space="preserve">Surf-Air is a </w:t>
            </w:r>
            <w:r w:rsidR="009045F9" w:rsidRPr="009045F9">
              <w:rPr>
                <w:lang w:val="en-US"/>
              </w:rPr>
              <w:t>simulator</w:t>
            </w:r>
            <w:r w:rsidRPr="009045F9">
              <w:rPr>
                <w:lang w:val="en-US"/>
              </w:rPr>
              <w:t xml:space="preserve"> that allows to practice Bodyboarding and </w:t>
            </w:r>
            <w:proofErr w:type="spellStart"/>
            <w:r w:rsidRPr="009045F9">
              <w:rPr>
                <w:lang w:val="en-US"/>
              </w:rPr>
              <w:t>Flowboarding</w:t>
            </w:r>
            <w:proofErr w:type="spellEnd"/>
            <w:r w:rsidRPr="009045F9">
              <w:rPr>
                <w:lang w:val="en-US"/>
              </w:rPr>
              <w:t xml:space="preserve"> in safe conditions, under the care of appropriately trained instructors</w:t>
            </w:r>
          </w:p>
        </w:tc>
      </w:tr>
      <w:tr w:rsidR="00750CAB" w:rsidRPr="003650B5" w14:paraId="339A2BE7" w14:textId="77777777" w:rsidTr="002C0C66">
        <w:trPr>
          <w:trHeight w:val="502"/>
        </w:trPr>
        <w:tc>
          <w:tcPr>
            <w:tcW w:w="4675" w:type="dxa"/>
          </w:tcPr>
          <w:p w14:paraId="618E114B" w14:textId="77777777" w:rsidR="00DB5B46" w:rsidRPr="009045F9" w:rsidRDefault="00EB131C" w:rsidP="006F0B7E">
            <w:pPr>
              <w:pStyle w:val="Akapitzlist"/>
              <w:numPr>
                <w:ilvl w:val="0"/>
                <w:numId w:val="1"/>
              </w:numPr>
              <w:rPr>
                <w:rFonts w:cs="Times New Roman"/>
              </w:rPr>
            </w:pPr>
            <w:r w:rsidRPr="009045F9">
              <w:rPr>
                <w:rFonts w:cs="Times New Roman"/>
              </w:rPr>
              <w:t>Z atrakcji mogą korzystać osoby od 120 cm wzrostu</w:t>
            </w:r>
          </w:p>
        </w:tc>
        <w:tc>
          <w:tcPr>
            <w:tcW w:w="4677" w:type="dxa"/>
          </w:tcPr>
          <w:p w14:paraId="223A59F7" w14:textId="77777777" w:rsidR="00DB5B46" w:rsidRPr="009045F9" w:rsidRDefault="009045F9" w:rsidP="009045F9">
            <w:pPr>
              <w:pStyle w:val="Akapitzlist"/>
              <w:numPr>
                <w:ilvl w:val="0"/>
                <w:numId w:val="1"/>
              </w:numPr>
              <w:rPr>
                <w:lang w:val="en-US"/>
              </w:rPr>
            </w:pPr>
            <w:r w:rsidRPr="009045F9">
              <w:rPr>
                <w:lang w:val="en-US"/>
              </w:rPr>
              <w:t>The attractions can be used by people from 120 cm taller</w:t>
            </w:r>
          </w:p>
        </w:tc>
      </w:tr>
      <w:tr w:rsidR="00750CAB" w:rsidRPr="003650B5" w14:paraId="30806668" w14:textId="77777777" w:rsidTr="002C0C66">
        <w:trPr>
          <w:trHeight w:val="1036"/>
        </w:trPr>
        <w:tc>
          <w:tcPr>
            <w:tcW w:w="4675" w:type="dxa"/>
          </w:tcPr>
          <w:p w14:paraId="3C930839" w14:textId="77777777" w:rsidR="00DB5B46" w:rsidRPr="009045F9" w:rsidRDefault="00EB131C" w:rsidP="006F0B7E">
            <w:pPr>
              <w:pStyle w:val="Akapitzlist"/>
              <w:numPr>
                <w:ilvl w:val="0"/>
                <w:numId w:val="1"/>
              </w:numPr>
              <w:rPr>
                <w:rFonts w:cs="Times New Roman"/>
              </w:rPr>
            </w:pPr>
            <w:r w:rsidRPr="009045F9">
              <w:rPr>
                <w:rFonts w:cs="Times New Roman"/>
              </w:rPr>
              <w:t xml:space="preserve">Każda osoba korzystająca z </w:t>
            </w:r>
            <w:r w:rsidR="0037013C" w:rsidRPr="009045F9">
              <w:rPr>
                <w:rFonts w:cs="Times New Roman"/>
              </w:rPr>
              <w:t>Surf-</w:t>
            </w:r>
            <w:proofErr w:type="spellStart"/>
            <w:r w:rsidR="0037013C" w:rsidRPr="009045F9">
              <w:rPr>
                <w:rFonts w:cs="Times New Roman"/>
              </w:rPr>
              <w:t>Air</w:t>
            </w:r>
            <w:proofErr w:type="spellEnd"/>
            <w:r w:rsidRPr="009045F9">
              <w:rPr>
                <w:rFonts w:cs="Times New Roman"/>
              </w:rPr>
              <w:t xml:space="preserve"> jest zobowiązana do zapoznania się z przepisami regulującymi jej użytkowanie i obrazkami na tablicach</w:t>
            </w:r>
          </w:p>
        </w:tc>
        <w:tc>
          <w:tcPr>
            <w:tcW w:w="4677" w:type="dxa"/>
          </w:tcPr>
          <w:p w14:paraId="6FAF3B3C" w14:textId="77777777" w:rsidR="00DB5B46" w:rsidRPr="009045F9" w:rsidRDefault="009045F9" w:rsidP="009045F9">
            <w:pPr>
              <w:pStyle w:val="Akapitzlist"/>
              <w:numPr>
                <w:ilvl w:val="0"/>
                <w:numId w:val="1"/>
              </w:numPr>
              <w:rPr>
                <w:lang w:val="en-US"/>
              </w:rPr>
            </w:pPr>
            <w:r w:rsidRPr="009045F9">
              <w:rPr>
                <w:lang w:val="en-US"/>
              </w:rPr>
              <w:t>Every person using Surf-Air is required to read the regulations governing its use and the images on the signs</w:t>
            </w:r>
          </w:p>
        </w:tc>
      </w:tr>
      <w:tr w:rsidR="00750CAB" w:rsidRPr="003650B5" w14:paraId="40E234A6" w14:textId="77777777" w:rsidTr="002C0C66">
        <w:trPr>
          <w:trHeight w:val="543"/>
        </w:trPr>
        <w:tc>
          <w:tcPr>
            <w:tcW w:w="4675" w:type="dxa"/>
          </w:tcPr>
          <w:p w14:paraId="48E57621" w14:textId="77777777" w:rsidR="00DB5B46" w:rsidRPr="009045F9" w:rsidRDefault="00EB131C" w:rsidP="006F0B7E">
            <w:pPr>
              <w:pStyle w:val="Akapitzlist"/>
              <w:numPr>
                <w:ilvl w:val="0"/>
                <w:numId w:val="1"/>
              </w:numPr>
              <w:rPr>
                <w:rFonts w:cs="Times New Roman"/>
              </w:rPr>
            </w:pPr>
            <w:r w:rsidRPr="009045F9">
              <w:rPr>
                <w:rFonts w:cs="Times New Roman"/>
              </w:rPr>
              <w:t>Sur</w:t>
            </w:r>
            <w:r w:rsidR="0037013C" w:rsidRPr="009045F9">
              <w:rPr>
                <w:rFonts w:cs="Times New Roman"/>
              </w:rPr>
              <w:t>f-</w:t>
            </w:r>
            <w:proofErr w:type="spellStart"/>
            <w:r w:rsidR="0037013C" w:rsidRPr="009045F9">
              <w:rPr>
                <w:rFonts w:cs="Times New Roman"/>
              </w:rPr>
              <w:t>Air</w:t>
            </w:r>
            <w:proofErr w:type="spellEnd"/>
            <w:r w:rsidRPr="009045F9">
              <w:rPr>
                <w:rFonts w:cs="Times New Roman"/>
              </w:rPr>
              <w:t xml:space="preserve"> jest atrakcją o podwyższonym ryzyku wystąpienia wypadków</w:t>
            </w:r>
          </w:p>
        </w:tc>
        <w:tc>
          <w:tcPr>
            <w:tcW w:w="4677" w:type="dxa"/>
          </w:tcPr>
          <w:p w14:paraId="25F19B5E" w14:textId="77777777" w:rsidR="00DB5B46" w:rsidRPr="009045F9" w:rsidRDefault="009045F9" w:rsidP="009045F9">
            <w:pPr>
              <w:pStyle w:val="Akapitzlist"/>
              <w:numPr>
                <w:ilvl w:val="0"/>
                <w:numId w:val="1"/>
              </w:numPr>
              <w:rPr>
                <w:lang w:val="en-US"/>
              </w:rPr>
            </w:pPr>
            <w:r w:rsidRPr="009045F9">
              <w:rPr>
                <w:lang w:val="en-US"/>
              </w:rPr>
              <w:t>Surf-Air is an attraction with a higher risk of accidents</w:t>
            </w:r>
          </w:p>
        </w:tc>
      </w:tr>
      <w:tr w:rsidR="00750CAB" w:rsidRPr="003650B5" w14:paraId="5B31E28F" w14:textId="77777777" w:rsidTr="002C0C66">
        <w:trPr>
          <w:trHeight w:val="759"/>
        </w:trPr>
        <w:tc>
          <w:tcPr>
            <w:tcW w:w="4675" w:type="dxa"/>
          </w:tcPr>
          <w:p w14:paraId="410A936E" w14:textId="77777777" w:rsidR="00DB5B46" w:rsidRPr="009045F9" w:rsidRDefault="0046586B" w:rsidP="006F0B7E">
            <w:pPr>
              <w:pStyle w:val="Akapitzlist"/>
              <w:numPr>
                <w:ilvl w:val="0"/>
                <w:numId w:val="1"/>
              </w:numPr>
              <w:rPr>
                <w:rFonts w:cs="Times New Roman"/>
              </w:rPr>
            </w:pPr>
            <w:r w:rsidRPr="0046586B">
              <w:rPr>
                <w:rFonts w:cs="Times New Roman"/>
              </w:rPr>
              <w:t>Osoby poniżej 16 roku życia mogą korzystać z Surf-</w:t>
            </w:r>
            <w:proofErr w:type="spellStart"/>
            <w:r w:rsidRPr="0046586B">
              <w:rPr>
                <w:rFonts w:cs="Times New Roman"/>
              </w:rPr>
              <w:t>Air</w:t>
            </w:r>
            <w:proofErr w:type="spellEnd"/>
            <w:r w:rsidRPr="0046586B">
              <w:rPr>
                <w:rFonts w:cs="Times New Roman"/>
              </w:rPr>
              <w:t xml:space="preserve"> wyłącznie pod opieką osoby dorosłej</w:t>
            </w:r>
          </w:p>
        </w:tc>
        <w:tc>
          <w:tcPr>
            <w:tcW w:w="4677" w:type="dxa"/>
          </w:tcPr>
          <w:p w14:paraId="4DC6B59B" w14:textId="77777777" w:rsidR="00DB5B46" w:rsidRPr="0046586B" w:rsidRDefault="0046586B" w:rsidP="0046586B">
            <w:pPr>
              <w:pStyle w:val="Akapitzlist"/>
              <w:numPr>
                <w:ilvl w:val="0"/>
                <w:numId w:val="1"/>
              </w:numPr>
              <w:rPr>
                <w:lang w:val="en-US"/>
              </w:rPr>
            </w:pPr>
            <w:r w:rsidRPr="0046586B">
              <w:rPr>
                <w:lang w:val="en-US"/>
              </w:rPr>
              <w:t>Persons under 16 years old may use Surf-Air only if accompanied by an adult.</w:t>
            </w:r>
          </w:p>
        </w:tc>
      </w:tr>
      <w:tr w:rsidR="00750CAB" w:rsidRPr="003650B5" w14:paraId="515A29A3" w14:textId="77777777" w:rsidTr="002C0C66">
        <w:trPr>
          <w:trHeight w:val="753"/>
        </w:trPr>
        <w:tc>
          <w:tcPr>
            <w:tcW w:w="4675" w:type="dxa"/>
          </w:tcPr>
          <w:p w14:paraId="23CD6D54" w14:textId="77777777" w:rsidR="00DB5B46" w:rsidRPr="009045F9" w:rsidRDefault="00EB131C" w:rsidP="006F0B7E">
            <w:pPr>
              <w:pStyle w:val="Akapitzlist"/>
              <w:numPr>
                <w:ilvl w:val="0"/>
                <w:numId w:val="1"/>
              </w:numPr>
              <w:rPr>
                <w:rFonts w:cs="Times New Roman"/>
              </w:rPr>
            </w:pPr>
            <w:r w:rsidRPr="009045F9">
              <w:rPr>
                <w:rFonts w:cs="Times New Roman"/>
              </w:rPr>
              <w:t xml:space="preserve">Korzystanie z </w:t>
            </w:r>
            <w:r w:rsidR="0037013C" w:rsidRPr="009045F9">
              <w:rPr>
                <w:rFonts w:cs="Times New Roman"/>
              </w:rPr>
              <w:t>Surf-</w:t>
            </w:r>
            <w:proofErr w:type="spellStart"/>
            <w:r w:rsidR="0037013C" w:rsidRPr="009045F9">
              <w:rPr>
                <w:rFonts w:cs="Times New Roman"/>
              </w:rPr>
              <w:t>Air</w:t>
            </w:r>
            <w:proofErr w:type="spellEnd"/>
            <w:r w:rsidRPr="009045F9">
              <w:rPr>
                <w:rFonts w:cs="Times New Roman"/>
              </w:rPr>
              <w:t xml:space="preserve"> odbywa się wyłącznie na własną odpowiedzialność i ryzyko</w:t>
            </w:r>
          </w:p>
        </w:tc>
        <w:tc>
          <w:tcPr>
            <w:tcW w:w="4677" w:type="dxa"/>
          </w:tcPr>
          <w:p w14:paraId="1AE80024" w14:textId="77777777" w:rsidR="00DB5B46" w:rsidRPr="0046586B" w:rsidRDefault="0046586B" w:rsidP="0046586B">
            <w:pPr>
              <w:pStyle w:val="Akapitzlist"/>
              <w:numPr>
                <w:ilvl w:val="0"/>
                <w:numId w:val="1"/>
              </w:numPr>
              <w:rPr>
                <w:lang w:val="en-US"/>
              </w:rPr>
            </w:pPr>
            <w:r w:rsidRPr="0046586B">
              <w:rPr>
                <w:lang w:val="en-US"/>
              </w:rPr>
              <w:t>The use of Surf-Air is entirely at your own risk and responsibility.</w:t>
            </w:r>
          </w:p>
        </w:tc>
      </w:tr>
      <w:tr w:rsidR="00750CAB" w:rsidRPr="003650B5" w14:paraId="2520149B" w14:textId="77777777" w:rsidTr="002C0C66">
        <w:trPr>
          <w:trHeight w:val="775"/>
        </w:trPr>
        <w:tc>
          <w:tcPr>
            <w:tcW w:w="4675" w:type="dxa"/>
          </w:tcPr>
          <w:p w14:paraId="0AFC33C6" w14:textId="77777777" w:rsidR="003234D9" w:rsidRPr="009045F9" w:rsidRDefault="003234D9" w:rsidP="003234D9">
            <w:pPr>
              <w:pStyle w:val="Akapitzlist"/>
              <w:numPr>
                <w:ilvl w:val="0"/>
                <w:numId w:val="1"/>
              </w:numPr>
              <w:rPr>
                <w:rFonts w:cs="Times New Roman"/>
                <w:b/>
                <w:bCs/>
              </w:rPr>
            </w:pPr>
            <w:r w:rsidRPr="009045F9">
              <w:rPr>
                <w:rFonts w:cs="Times New Roman"/>
              </w:rPr>
              <w:t>Przed skorzystaniem z atrakcji należy przejść przez obowiązkowe szkolenie</w:t>
            </w:r>
            <w:r w:rsidR="00B86579">
              <w:rPr>
                <w:rFonts w:cs="Times New Roman"/>
              </w:rPr>
              <w:t xml:space="preserve"> i </w:t>
            </w:r>
            <w:r w:rsidRPr="009045F9">
              <w:rPr>
                <w:rFonts w:cs="Times New Roman"/>
              </w:rPr>
              <w:t>zapoznać się z zasadami</w:t>
            </w:r>
          </w:p>
        </w:tc>
        <w:tc>
          <w:tcPr>
            <w:tcW w:w="4677" w:type="dxa"/>
          </w:tcPr>
          <w:p w14:paraId="085AF971" w14:textId="77777777" w:rsidR="003234D9" w:rsidRPr="0046586B" w:rsidRDefault="00B86579" w:rsidP="0046586B">
            <w:pPr>
              <w:pStyle w:val="Akapitzlist"/>
              <w:numPr>
                <w:ilvl w:val="0"/>
                <w:numId w:val="1"/>
              </w:numPr>
              <w:rPr>
                <w:lang w:val="en-US"/>
              </w:rPr>
            </w:pPr>
            <w:r w:rsidRPr="00B86579">
              <w:rPr>
                <w:lang w:val="en-US"/>
              </w:rPr>
              <w:t>Before using the attraction, you must go through mandatory training and familiarize yourself with the rules</w:t>
            </w:r>
          </w:p>
        </w:tc>
      </w:tr>
      <w:tr w:rsidR="00750CAB" w:rsidRPr="003650B5" w14:paraId="59D3F154" w14:textId="77777777" w:rsidTr="002C0C66">
        <w:trPr>
          <w:trHeight w:val="1403"/>
        </w:trPr>
        <w:tc>
          <w:tcPr>
            <w:tcW w:w="4675" w:type="dxa"/>
          </w:tcPr>
          <w:p w14:paraId="5AC34CC2" w14:textId="77777777" w:rsidR="006F0B7E" w:rsidRPr="009045F9" w:rsidRDefault="006F0B7E" w:rsidP="003650B5">
            <w:pPr>
              <w:pStyle w:val="Akapitzlist"/>
              <w:numPr>
                <w:ilvl w:val="0"/>
                <w:numId w:val="1"/>
              </w:numPr>
              <w:rPr>
                <w:rFonts w:cs="Times New Roman"/>
              </w:rPr>
            </w:pPr>
            <w:r w:rsidRPr="009045F9">
              <w:rPr>
                <w:rFonts w:cs="Times New Roman"/>
              </w:rPr>
              <w:t xml:space="preserve">Osoby z dysfunkcjami układu krążenia, układu oddechowego, neurologicznymi i gastrycznymi powinny korzystać z </w:t>
            </w:r>
            <w:r w:rsidR="0037013C" w:rsidRPr="009045F9">
              <w:rPr>
                <w:rFonts w:cs="Times New Roman"/>
              </w:rPr>
              <w:t>Surf-</w:t>
            </w:r>
            <w:proofErr w:type="spellStart"/>
            <w:r w:rsidR="0037013C" w:rsidRPr="009045F9">
              <w:rPr>
                <w:rFonts w:cs="Times New Roman"/>
              </w:rPr>
              <w:t>Air</w:t>
            </w:r>
            <w:proofErr w:type="spellEnd"/>
            <w:r w:rsidRPr="009045F9">
              <w:rPr>
                <w:rFonts w:cs="Times New Roman"/>
              </w:rPr>
              <w:t xml:space="preserve"> ze szczególną ostrożnością i po konsultacji lekarskiej</w:t>
            </w:r>
          </w:p>
        </w:tc>
        <w:tc>
          <w:tcPr>
            <w:tcW w:w="4677" w:type="dxa"/>
          </w:tcPr>
          <w:p w14:paraId="11648F23" w14:textId="77777777" w:rsidR="006F0B7E" w:rsidRPr="00106111" w:rsidRDefault="00106111" w:rsidP="003650B5">
            <w:pPr>
              <w:pStyle w:val="Akapitzlist"/>
              <w:numPr>
                <w:ilvl w:val="0"/>
                <w:numId w:val="1"/>
              </w:numPr>
              <w:rPr>
                <w:lang w:val="en-US"/>
              </w:rPr>
            </w:pPr>
            <w:r w:rsidRPr="00106111">
              <w:rPr>
                <w:lang w:val="en-US"/>
              </w:rPr>
              <w:t>Persons with cardiovascular, respiratory, neurological and gastric dysfunctions should use Surf-Air with special care and after medical consultation</w:t>
            </w:r>
          </w:p>
        </w:tc>
      </w:tr>
      <w:tr w:rsidR="00750CAB" w:rsidRPr="003650B5" w14:paraId="6C0CBE67" w14:textId="77777777" w:rsidTr="002C0C66">
        <w:trPr>
          <w:trHeight w:val="549"/>
        </w:trPr>
        <w:tc>
          <w:tcPr>
            <w:tcW w:w="4675" w:type="dxa"/>
          </w:tcPr>
          <w:p w14:paraId="32DE0586" w14:textId="77777777" w:rsidR="003234D9" w:rsidRPr="009045F9" w:rsidRDefault="003234D9" w:rsidP="003650B5">
            <w:pPr>
              <w:pStyle w:val="Akapitzlist"/>
              <w:numPr>
                <w:ilvl w:val="0"/>
                <w:numId w:val="1"/>
              </w:numPr>
              <w:rPr>
                <w:rFonts w:cs="Times New Roman"/>
              </w:rPr>
            </w:pPr>
            <w:r w:rsidRPr="009045F9">
              <w:rPr>
                <w:rFonts w:cs="Times New Roman"/>
              </w:rPr>
              <w:t>Z Surf-</w:t>
            </w:r>
            <w:proofErr w:type="spellStart"/>
            <w:r w:rsidRPr="009045F9">
              <w:rPr>
                <w:rFonts w:cs="Times New Roman"/>
              </w:rPr>
              <w:t>Air</w:t>
            </w:r>
            <w:proofErr w:type="spellEnd"/>
            <w:r w:rsidRPr="009045F9">
              <w:rPr>
                <w:rFonts w:cs="Times New Roman"/>
              </w:rPr>
              <w:t xml:space="preserve"> można korzystać tylko w obecności instruktora obecnego w strefie</w:t>
            </w:r>
          </w:p>
        </w:tc>
        <w:tc>
          <w:tcPr>
            <w:tcW w:w="4677" w:type="dxa"/>
          </w:tcPr>
          <w:p w14:paraId="0A86AFA3" w14:textId="77777777" w:rsidR="003234D9" w:rsidRPr="00394DE2" w:rsidRDefault="00394DE2" w:rsidP="003650B5">
            <w:pPr>
              <w:pStyle w:val="Akapitzlist"/>
              <w:numPr>
                <w:ilvl w:val="0"/>
                <w:numId w:val="1"/>
              </w:numPr>
              <w:rPr>
                <w:lang w:val="en-US"/>
              </w:rPr>
            </w:pPr>
            <w:r w:rsidRPr="00394DE2">
              <w:rPr>
                <w:lang w:val="en-US"/>
              </w:rPr>
              <w:t>Surf-Air can only be used in the presence of an instructor in the area</w:t>
            </w:r>
          </w:p>
        </w:tc>
      </w:tr>
      <w:tr w:rsidR="00750CAB" w:rsidRPr="003650B5" w14:paraId="1D55B2ED" w14:textId="77777777" w:rsidTr="002C0C66">
        <w:trPr>
          <w:trHeight w:val="797"/>
        </w:trPr>
        <w:tc>
          <w:tcPr>
            <w:tcW w:w="4675" w:type="dxa"/>
          </w:tcPr>
          <w:p w14:paraId="3FF16C7B" w14:textId="77777777" w:rsidR="003234D9" w:rsidRPr="009045F9" w:rsidRDefault="003234D9" w:rsidP="003650B5">
            <w:pPr>
              <w:pStyle w:val="Akapitzlist"/>
              <w:numPr>
                <w:ilvl w:val="0"/>
                <w:numId w:val="1"/>
              </w:numPr>
              <w:rPr>
                <w:rFonts w:cs="Times New Roman"/>
              </w:rPr>
            </w:pPr>
            <w:r w:rsidRPr="009045F9">
              <w:rPr>
                <w:rFonts w:cs="Times New Roman"/>
              </w:rPr>
              <w:t>Z Surf-</w:t>
            </w:r>
            <w:proofErr w:type="spellStart"/>
            <w:r w:rsidRPr="009045F9">
              <w:rPr>
                <w:rFonts w:cs="Times New Roman"/>
              </w:rPr>
              <w:t>Air</w:t>
            </w:r>
            <w:proofErr w:type="spellEnd"/>
            <w:r w:rsidRPr="009045F9">
              <w:rPr>
                <w:rFonts w:cs="Times New Roman"/>
              </w:rPr>
              <w:t xml:space="preserve"> korzystaj tylko z deskami przeznaczonymi do tego rodzaju </w:t>
            </w:r>
            <w:r w:rsidR="00394DE2">
              <w:rPr>
                <w:rFonts w:cs="Times New Roman"/>
              </w:rPr>
              <w:t>symulatorów</w:t>
            </w:r>
          </w:p>
        </w:tc>
        <w:tc>
          <w:tcPr>
            <w:tcW w:w="4677" w:type="dxa"/>
          </w:tcPr>
          <w:p w14:paraId="2BDB764A" w14:textId="77777777" w:rsidR="00394DE2" w:rsidRPr="002C0C66" w:rsidRDefault="00394DE2" w:rsidP="003650B5">
            <w:pPr>
              <w:pStyle w:val="Akapitzlist"/>
              <w:numPr>
                <w:ilvl w:val="0"/>
                <w:numId w:val="1"/>
              </w:numPr>
              <w:rPr>
                <w:lang w:val="en-US"/>
              </w:rPr>
            </w:pPr>
            <w:r w:rsidRPr="00394DE2">
              <w:rPr>
                <w:lang w:val="en-US"/>
              </w:rPr>
              <w:t>Use Surf-Air only with boards designed for this type of simulators</w:t>
            </w:r>
          </w:p>
        </w:tc>
      </w:tr>
      <w:tr w:rsidR="00750CAB" w:rsidRPr="003650B5" w14:paraId="393D9223" w14:textId="77777777" w:rsidTr="002C0C66">
        <w:trPr>
          <w:trHeight w:val="699"/>
        </w:trPr>
        <w:tc>
          <w:tcPr>
            <w:tcW w:w="4675" w:type="dxa"/>
          </w:tcPr>
          <w:p w14:paraId="7BBDF0DB" w14:textId="77777777" w:rsidR="003234D9" w:rsidRPr="00726F96" w:rsidRDefault="00726F96" w:rsidP="003650B5">
            <w:pPr>
              <w:pStyle w:val="Akapitzlist"/>
              <w:numPr>
                <w:ilvl w:val="0"/>
                <w:numId w:val="1"/>
              </w:numPr>
              <w:rPr>
                <w:rFonts w:cs="Times New Roman"/>
              </w:rPr>
            </w:pPr>
            <w:r w:rsidRPr="00726F96">
              <w:rPr>
                <w:rFonts w:cs="Times New Roman"/>
              </w:rPr>
              <w:t>Maksymalnie 10 osób może uczestniczyć w jednej sesji prowadzonej przez instruktora</w:t>
            </w:r>
          </w:p>
        </w:tc>
        <w:tc>
          <w:tcPr>
            <w:tcW w:w="4677" w:type="dxa"/>
          </w:tcPr>
          <w:p w14:paraId="40CDFBB1" w14:textId="77777777" w:rsidR="003234D9" w:rsidRPr="00726F96" w:rsidRDefault="00726F96" w:rsidP="003650B5">
            <w:pPr>
              <w:pStyle w:val="Akapitzlist"/>
              <w:numPr>
                <w:ilvl w:val="0"/>
                <w:numId w:val="1"/>
              </w:numPr>
              <w:rPr>
                <w:lang w:val="en-US"/>
              </w:rPr>
            </w:pPr>
            <w:r w:rsidRPr="00726F96">
              <w:rPr>
                <w:lang w:val="en-US"/>
              </w:rPr>
              <w:t>A maximum of 10 people may participate in one session led by an instructor</w:t>
            </w:r>
          </w:p>
        </w:tc>
      </w:tr>
      <w:tr w:rsidR="00750CAB" w:rsidRPr="003650B5" w14:paraId="3ACDAF6A" w14:textId="77777777" w:rsidTr="002C0C66">
        <w:trPr>
          <w:trHeight w:val="541"/>
        </w:trPr>
        <w:tc>
          <w:tcPr>
            <w:tcW w:w="4675" w:type="dxa"/>
          </w:tcPr>
          <w:p w14:paraId="0A1C2495" w14:textId="77777777" w:rsidR="00726F96" w:rsidRPr="00726F96" w:rsidRDefault="00726F96" w:rsidP="003650B5">
            <w:pPr>
              <w:pStyle w:val="Akapitzlist"/>
              <w:numPr>
                <w:ilvl w:val="0"/>
                <w:numId w:val="1"/>
              </w:numPr>
              <w:rPr>
                <w:rFonts w:cs="Times New Roman"/>
              </w:rPr>
            </w:pPr>
            <w:r>
              <w:rPr>
                <w:rFonts w:cs="Times New Roman"/>
              </w:rPr>
              <w:t>W tym samym czasie na jednym torze może przebywać jedna osoba</w:t>
            </w:r>
          </w:p>
        </w:tc>
        <w:tc>
          <w:tcPr>
            <w:tcW w:w="4677" w:type="dxa"/>
          </w:tcPr>
          <w:p w14:paraId="74B40FC3" w14:textId="77777777" w:rsidR="00726F96" w:rsidRPr="00726F96" w:rsidRDefault="00726F96" w:rsidP="003650B5">
            <w:pPr>
              <w:pStyle w:val="Akapitzlist"/>
              <w:numPr>
                <w:ilvl w:val="0"/>
                <w:numId w:val="1"/>
              </w:numPr>
              <w:rPr>
                <w:lang w:val="en-US"/>
              </w:rPr>
            </w:pPr>
            <w:r w:rsidRPr="00726F96">
              <w:rPr>
                <w:lang w:val="en-US"/>
              </w:rPr>
              <w:t>One person can be on the same track at a time</w:t>
            </w:r>
          </w:p>
        </w:tc>
      </w:tr>
      <w:tr w:rsidR="00750CAB" w:rsidRPr="003650B5" w14:paraId="10154918" w14:textId="77777777" w:rsidTr="008D4A3A">
        <w:trPr>
          <w:trHeight w:val="796"/>
        </w:trPr>
        <w:tc>
          <w:tcPr>
            <w:tcW w:w="4675" w:type="dxa"/>
          </w:tcPr>
          <w:p w14:paraId="7FCF4DD8" w14:textId="77777777" w:rsidR="00DB5B46" w:rsidRPr="003650B5" w:rsidRDefault="00EB131C" w:rsidP="003650B5">
            <w:pPr>
              <w:pStyle w:val="Akapitzlist"/>
              <w:numPr>
                <w:ilvl w:val="0"/>
                <w:numId w:val="1"/>
              </w:numPr>
              <w:rPr>
                <w:rFonts w:cs="Times New Roman"/>
              </w:rPr>
            </w:pPr>
            <w:r w:rsidRPr="003650B5">
              <w:rPr>
                <w:rFonts w:cs="Times New Roman"/>
              </w:rPr>
              <w:t>Sesja na symulatorze trwa 30 min i zaczyna się w pierwszej pełnej godzinie pracy symulatora</w:t>
            </w:r>
          </w:p>
        </w:tc>
        <w:tc>
          <w:tcPr>
            <w:tcW w:w="4677" w:type="dxa"/>
          </w:tcPr>
          <w:p w14:paraId="4EEA5D97" w14:textId="77777777" w:rsidR="00DB5B46" w:rsidRPr="003650B5" w:rsidRDefault="00B86579" w:rsidP="003650B5">
            <w:pPr>
              <w:pStyle w:val="Akapitzlist"/>
              <w:numPr>
                <w:ilvl w:val="0"/>
                <w:numId w:val="1"/>
              </w:numPr>
              <w:rPr>
                <w:lang w:val="en-US"/>
              </w:rPr>
            </w:pPr>
            <w:r w:rsidRPr="003650B5">
              <w:rPr>
                <w:lang w:val="en-US"/>
              </w:rPr>
              <w:t>Session on the simulator lasts 30 minutes and starts in the first full hour of the simulator operation</w:t>
            </w:r>
          </w:p>
        </w:tc>
      </w:tr>
      <w:tr w:rsidR="00750CAB" w:rsidRPr="003650B5" w14:paraId="54A72CAD" w14:textId="77777777" w:rsidTr="002C0C66">
        <w:trPr>
          <w:trHeight w:val="1532"/>
        </w:trPr>
        <w:tc>
          <w:tcPr>
            <w:tcW w:w="4675" w:type="dxa"/>
          </w:tcPr>
          <w:p w14:paraId="2E9E26B9" w14:textId="796E9F87" w:rsidR="00C55E19" w:rsidRPr="003650B5" w:rsidRDefault="00C55E19" w:rsidP="003650B5">
            <w:pPr>
              <w:pStyle w:val="Akapitzlist"/>
              <w:numPr>
                <w:ilvl w:val="0"/>
                <w:numId w:val="1"/>
              </w:numPr>
              <w:jc w:val="both"/>
              <w:rPr>
                <w:rFonts w:cs="Times New Roman"/>
              </w:rPr>
            </w:pPr>
            <w:r w:rsidRPr="003650B5">
              <w:rPr>
                <w:rFonts w:cs="Times New Roman"/>
              </w:rPr>
              <w:t xml:space="preserve">Zabrania się powodowania sytuacji zagrażających własnemu bezpieczeństwu oraz  bezpieczeństwu innych osób korzystających z </w:t>
            </w:r>
            <w:r w:rsidR="000F4659" w:rsidRPr="003650B5">
              <w:rPr>
                <w:rFonts w:cs="Times New Roman"/>
              </w:rPr>
              <w:t xml:space="preserve">atrakcji </w:t>
            </w:r>
            <w:r w:rsidRPr="003650B5">
              <w:rPr>
                <w:rFonts w:cs="Times New Roman"/>
              </w:rPr>
              <w:t xml:space="preserve">lub mogących spowodować nieszczęśliwy wypadek. </w:t>
            </w:r>
          </w:p>
          <w:p w14:paraId="1BA1CC07" w14:textId="04405A15" w:rsidR="00C55E19" w:rsidRPr="003650B5" w:rsidRDefault="00C55E19" w:rsidP="003650B5">
            <w:pPr>
              <w:pStyle w:val="Akapitzlist"/>
              <w:rPr>
                <w:rFonts w:cs="Times New Roman"/>
              </w:rPr>
            </w:pPr>
          </w:p>
        </w:tc>
        <w:tc>
          <w:tcPr>
            <w:tcW w:w="4677" w:type="dxa"/>
          </w:tcPr>
          <w:p w14:paraId="291CE5C3" w14:textId="62293BF5" w:rsidR="00C55E19" w:rsidRPr="003650B5" w:rsidRDefault="000F4659" w:rsidP="003650B5">
            <w:pPr>
              <w:pStyle w:val="Akapitzlist"/>
              <w:numPr>
                <w:ilvl w:val="0"/>
                <w:numId w:val="1"/>
              </w:numPr>
              <w:rPr>
                <w:lang w:val="en-AU"/>
              </w:rPr>
            </w:pPr>
            <w:r w:rsidRPr="003650B5">
              <w:rPr>
                <w:lang w:val="en-AU"/>
              </w:rPr>
              <w:t xml:space="preserve">It is forbidden to cause situations that threaten your own safety and the safety of other people using the </w:t>
            </w:r>
            <w:r w:rsidR="00750CAB" w:rsidRPr="003650B5">
              <w:rPr>
                <w:lang w:val="en-AU"/>
              </w:rPr>
              <w:t>place</w:t>
            </w:r>
            <w:r w:rsidRPr="003650B5">
              <w:rPr>
                <w:lang w:val="en-AU"/>
              </w:rPr>
              <w:t xml:space="preserve"> or that may cause an accident</w:t>
            </w:r>
          </w:p>
        </w:tc>
      </w:tr>
      <w:tr w:rsidR="00750CAB" w:rsidRPr="003650B5" w14:paraId="26374FC0" w14:textId="77777777" w:rsidTr="002C0C66">
        <w:trPr>
          <w:trHeight w:val="694"/>
        </w:trPr>
        <w:tc>
          <w:tcPr>
            <w:tcW w:w="0" w:type="auto"/>
          </w:tcPr>
          <w:p w14:paraId="1B6058E4" w14:textId="77777777" w:rsidR="00C55E19" w:rsidRPr="003650B5" w:rsidRDefault="00C55E19" w:rsidP="003650B5">
            <w:pPr>
              <w:pStyle w:val="Akapitzlist"/>
              <w:numPr>
                <w:ilvl w:val="0"/>
                <w:numId w:val="1"/>
              </w:numPr>
              <w:jc w:val="both"/>
              <w:rPr>
                <w:rFonts w:cs="Times New Roman"/>
              </w:rPr>
            </w:pPr>
            <w:r w:rsidRPr="003650B5">
              <w:rPr>
                <w:rFonts w:cs="Times New Roman"/>
              </w:rPr>
              <w:lastRenderedPageBreak/>
              <w:t>W razie wypadku spowodowanego nieprzestrzeganiem Regulaminu, wszelką odpowiedzialność ponosi użytkownik.</w:t>
            </w:r>
          </w:p>
          <w:p w14:paraId="2C69C396" w14:textId="2DE72D40" w:rsidR="00C55E19" w:rsidRPr="003650B5" w:rsidRDefault="00C55E19" w:rsidP="003650B5">
            <w:pPr>
              <w:jc w:val="center"/>
              <w:rPr>
                <w:b/>
                <w:bCs/>
                <w:sz w:val="32"/>
                <w:szCs w:val="32"/>
              </w:rPr>
            </w:pPr>
            <w:r w:rsidRPr="003650B5">
              <w:rPr>
                <w:rFonts w:cs="Times New Roman"/>
              </w:rPr>
              <w:t xml:space="preserve"> </w:t>
            </w:r>
          </w:p>
        </w:tc>
        <w:tc>
          <w:tcPr>
            <w:tcW w:w="0" w:type="auto"/>
          </w:tcPr>
          <w:p w14:paraId="70812A0E" w14:textId="64270D00" w:rsidR="00C55E19" w:rsidRPr="003650B5" w:rsidRDefault="00750CAB" w:rsidP="003650B5">
            <w:pPr>
              <w:pStyle w:val="Akapitzlist"/>
              <w:numPr>
                <w:ilvl w:val="0"/>
                <w:numId w:val="1"/>
              </w:numPr>
              <w:rPr>
                <w:b/>
                <w:bCs/>
                <w:sz w:val="32"/>
                <w:szCs w:val="32"/>
                <w:lang w:val="en-AU"/>
              </w:rPr>
            </w:pPr>
            <w:r w:rsidRPr="003650B5">
              <w:rPr>
                <w:lang w:val="en-AU"/>
              </w:rPr>
              <w:t>In the event of an accident caused by non-compliance with the Regulations, the user bears all responsibility.</w:t>
            </w:r>
          </w:p>
        </w:tc>
      </w:tr>
      <w:tr w:rsidR="00750CAB" w:rsidRPr="003650B5" w14:paraId="7CEFFEB5" w14:textId="77777777" w:rsidTr="008D4A3A">
        <w:trPr>
          <w:trHeight w:val="282"/>
        </w:trPr>
        <w:tc>
          <w:tcPr>
            <w:tcW w:w="4675" w:type="dxa"/>
          </w:tcPr>
          <w:p w14:paraId="45F6623D" w14:textId="77777777" w:rsidR="00C55E19" w:rsidRPr="003650B5" w:rsidRDefault="00C55E19" w:rsidP="003650B5">
            <w:pPr>
              <w:pStyle w:val="Akapitzlist"/>
              <w:numPr>
                <w:ilvl w:val="0"/>
                <w:numId w:val="1"/>
              </w:numPr>
              <w:jc w:val="both"/>
              <w:rPr>
                <w:rFonts w:cs="Times New Roman"/>
              </w:rPr>
            </w:pPr>
            <w:r w:rsidRPr="003650B5">
              <w:rPr>
                <w:rFonts w:cs="Times New Roman"/>
                <w:lang w:val="en-AU"/>
              </w:rPr>
              <w:t xml:space="preserve"> </w:t>
            </w:r>
            <w:r w:rsidRPr="003650B5">
              <w:rPr>
                <w:rFonts w:cs="Times New Roman"/>
              </w:rPr>
              <w:t>Park Wodny (Operator) ponosi odpowiedzialność za szkody poniesione przez Gościa w czasie korzystania z atrakcji, wyłącznie jeśli szkoda powstała w wyniku zaniedbań Operatora związanych z korzystaniem przez Gościa z atrakcji.</w:t>
            </w:r>
          </w:p>
          <w:p w14:paraId="32FB4B8C" w14:textId="1823996D" w:rsidR="00C55E19" w:rsidRPr="003650B5" w:rsidRDefault="00C55E19" w:rsidP="003650B5">
            <w:pPr>
              <w:pStyle w:val="Akapitzlist"/>
              <w:rPr>
                <w:rFonts w:cs="Times New Roman"/>
                <w:b/>
                <w:bCs/>
              </w:rPr>
            </w:pPr>
          </w:p>
        </w:tc>
        <w:tc>
          <w:tcPr>
            <w:tcW w:w="4677" w:type="dxa"/>
          </w:tcPr>
          <w:p w14:paraId="6D8E08AE" w14:textId="434F44DD" w:rsidR="00C55E19" w:rsidRPr="003650B5" w:rsidRDefault="00750CAB" w:rsidP="003650B5">
            <w:pPr>
              <w:pStyle w:val="Akapitzlist"/>
              <w:numPr>
                <w:ilvl w:val="0"/>
                <w:numId w:val="1"/>
              </w:numPr>
              <w:rPr>
                <w:lang w:val="en-AU"/>
              </w:rPr>
            </w:pPr>
            <w:r w:rsidRPr="003650B5">
              <w:rPr>
                <w:lang w:val="en-AU"/>
              </w:rPr>
              <w:t>The Aqua Park (Operator) is liable for damages incurred by the Guest while using the attractions, only if the damage resulted from the Operator's negligence related to the Guest's use of the place.</w:t>
            </w:r>
          </w:p>
        </w:tc>
      </w:tr>
      <w:tr w:rsidR="00750CAB" w:rsidRPr="003650B5" w14:paraId="730D075A" w14:textId="77777777" w:rsidTr="008D4A3A">
        <w:tc>
          <w:tcPr>
            <w:tcW w:w="4675" w:type="dxa"/>
          </w:tcPr>
          <w:p w14:paraId="41807C37" w14:textId="77777777" w:rsidR="00C55E19" w:rsidRPr="003650B5" w:rsidRDefault="00C55E19" w:rsidP="003650B5">
            <w:pPr>
              <w:pStyle w:val="Akapitzlist"/>
              <w:numPr>
                <w:ilvl w:val="0"/>
                <w:numId w:val="1"/>
              </w:numPr>
              <w:jc w:val="both"/>
              <w:rPr>
                <w:rFonts w:cs="Times New Roman"/>
              </w:rPr>
            </w:pPr>
            <w:r w:rsidRPr="003650B5">
              <w:rPr>
                <w:rFonts w:cs="Times New Roman"/>
                <w:lang w:val="en-AU"/>
              </w:rPr>
              <w:t xml:space="preserve"> </w:t>
            </w:r>
            <w:r w:rsidRPr="003650B5">
              <w:rPr>
                <w:rFonts w:cs="Times New Roman"/>
              </w:rPr>
              <w:t>Operator nie ponosi odpowiedzialności za szkody spowodowane działaniem siły wyższej, sił natury, warunków pogodowych oraz za szkody wynikające z przyczyn leżących po stronie poszkodowanego lub osoby trzeciej, w tym wynikających z nieprzestrzegania niniejszego Regulaminu, regulaminu obiektu lub regulaminu danej atrakcji.</w:t>
            </w:r>
          </w:p>
          <w:p w14:paraId="1E0B5D91" w14:textId="792A27CA" w:rsidR="00C55E19" w:rsidRPr="003650B5" w:rsidRDefault="00C55E19" w:rsidP="003650B5">
            <w:pPr>
              <w:pStyle w:val="Akapitzlist"/>
              <w:rPr>
                <w:rFonts w:cs="Times New Roman"/>
                <w:b/>
                <w:bCs/>
              </w:rPr>
            </w:pPr>
          </w:p>
        </w:tc>
        <w:tc>
          <w:tcPr>
            <w:tcW w:w="4677" w:type="dxa"/>
          </w:tcPr>
          <w:p w14:paraId="3511483C" w14:textId="484ECAEC" w:rsidR="00C55E19" w:rsidRPr="003650B5" w:rsidRDefault="00750CAB" w:rsidP="003650B5">
            <w:pPr>
              <w:pStyle w:val="Akapitzlist"/>
              <w:numPr>
                <w:ilvl w:val="0"/>
                <w:numId w:val="1"/>
              </w:numPr>
              <w:rPr>
                <w:lang w:val="en-AU"/>
              </w:rPr>
            </w:pPr>
            <w:r w:rsidRPr="003650B5">
              <w:rPr>
                <w:lang w:val="en-AU"/>
              </w:rPr>
              <w:t>The operator is not responsible for damages caused by force majeure, natural forces, weather conditions and for damages resulting from reasons attributable to the injured party or a third party, including failure to comply with these Regulations, the facility regulations or the regulations of a given place.</w:t>
            </w:r>
          </w:p>
        </w:tc>
      </w:tr>
      <w:tr w:rsidR="00750CAB" w:rsidRPr="003650B5" w14:paraId="6835B68A" w14:textId="77777777" w:rsidTr="008D4A3A">
        <w:tc>
          <w:tcPr>
            <w:tcW w:w="4675" w:type="dxa"/>
          </w:tcPr>
          <w:p w14:paraId="4F340505" w14:textId="77777777" w:rsidR="00C55E19" w:rsidRPr="003650B5" w:rsidRDefault="00C55E19" w:rsidP="003650B5">
            <w:pPr>
              <w:pStyle w:val="Akapitzlist"/>
              <w:numPr>
                <w:ilvl w:val="0"/>
                <w:numId w:val="1"/>
              </w:numPr>
              <w:jc w:val="both"/>
              <w:rPr>
                <w:rFonts w:cs="Times New Roman"/>
              </w:rPr>
            </w:pPr>
            <w:r w:rsidRPr="003650B5">
              <w:rPr>
                <w:rFonts w:cs="Times New Roman"/>
              </w:rPr>
              <w:t xml:space="preserve">Gość odpowiada w szczególności za wypadki spowodowane nieprzestrzeganiem przez niego niniejszego Regulaminu, regulaminu obiektu lub regulaminu danej atrakcji. </w:t>
            </w:r>
          </w:p>
          <w:p w14:paraId="55DFF491" w14:textId="7D72D0D4" w:rsidR="00C55E19" w:rsidRPr="003650B5" w:rsidRDefault="00C55E19" w:rsidP="003650B5">
            <w:pPr>
              <w:pStyle w:val="Akapitzlist"/>
              <w:rPr>
                <w:rFonts w:cs="Times New Roman"/>
              </w:rPr>
            </w:pPr>
          </w:p>
        </w:tc>
        <w:tc>
          <w:tcPr>
            <w:tcW w:w="4677" w:type="dxa"/>
          </w:tcPr>
          <w:p w14:paraId="0BB635AC" w14:textId="31596864" w:rsidR="00C55E19" w:rsidRPr="003650B5" w:rsidRDefault="00750CAB" w:rsidP="003650B5">
            <w:pPr>
              <w:pStyle w:val="Akapitzlist"/>
              <w:numPr>
                <w:ilvl w:val="0"/>
                <w:numId w:val="2"/>
              </w:numPr>
              <w:rPr>
                <w:lang w:val="en-AU"/>
              </w:rPr>
            </w:pPr>
            <w:r w:rsidRPr="003650B5">
              <w:rPr>
                <w:lang w:val="en-AU"/>
              </w:rPr>
              <w:t>The guest is responsible in particular for accidents caused by his failure to comply with these Regulations, the facility regulations or the regulations of a given attraction.</w:t>
            </w:r>
          </w:p>
        </w:tc>
      </w:tr>
      <w:tr w:rsidR="00C55E19" w:rsidRPr="003650B5" w14:paraId="7D2A5C09" w14:textId="77777777" w:rsidTr="008D4A3A">
        <w:tc>
          <w:tcPr>
            <w:tcW w:w="4675" w:type="dxa"/>
          </w:tcPr>
          <w:p w14:paraId="41504206" w14:textId="77777777" w:rsidR="00266F28" w:rsidRPr="003650B5" w:rsidRDefault="00266F28" w:rsidP="003650B5">
            <w:pPr>
              <w:pStyle w:val="Akapitzlist"/>
              <w:numPr>
                <w:ilvl w:val="0"/>
                <w:numId w:val="1"/>
              </w:numPr>
              <w:jc w:val="both"/>
              <w:rPr>
                <w:rFonts w:cs="Times New Roman"/>
              </w:rPr>
            </w:pPr>
            <w:r w:rsidRPr="003650B5">
              <w:rPr>
                <w:rFonts w:cs="Times New Roman"/>
              </w:rPr>
              <w:t>Wszelkie zauważone usterki, należy niezwłocznie zgłosić pracownikom Suntago Wodny Świat.</w:t>
            </w:r>
          </w:p>
          <w:p w14:paraId="6886AA24" w14:textId="77777777" w:rsidR="00C55E19" w:rsidRPr="003650B5" w:rsidRDefault="00C55E19" w:rsidP="003650B5">
            <w:pPr>
              <w:pStyle w:val="Akapitzlist"/>
              <w:rPr>
                <w:rFonts w:cs="Times New Roman"/>
              </w:rPr>
            </w:pPr>
          </w:p>
        </w:tc>
        <w:tc>
          <w:tcPr>
            <w:tcW w:w="4677" w:type="dxa"/>
          </w:tcPr>
          <w:p w14:paraId="113A1AFF" w14:textId="209DE479" w:rsidR="00C55E19" w:rsidRPr="003650B5" w:rsidRDefault="00750CAB" w:rsidP="003650B5">
            <w:pPr>
              <w:pStyle w:val="Akapitzlist"/>
              <w:numPr>
                <w:ilvl w:val="0"/>
                <w:numId w:val="2"/>
              </w:numPr>
              <w:rPr>
                <w:lang w:val="en-AU"/>
              </w:rPr>
            </w:pPr>
            <w:r w:rsidRPr="003650B5">
              <w:rPr>
                <w:lang w:val="en-AU"/>
              </w:rPr>
              <w:t xml:space="preserve">Any noticed defects should be immediately reported to Suntago </w:t>
            </w:r>
            <w:proofErr w:type="spellStart"/>
            <w:r w:rsidRPr="003650B5">
              <w:rPr>
                <w:lang w:val="en-AU"/>
              </w:rPr>
              <w:t>Wodny</w:t>
            </w:r>
            <w:proofErr w:type="spellEnd"/>
            <w:r w:rsidRPr="003650B5">
              <w:rPr>
                <w:lang w:val="en-AU"/>
              </w:rPr>
              <w:t xml:space="preserve"> </w:t>
            </w:r>
            <w:proofErr w:type="spellStart"/>
            <w:r w:rsidRPr="003650B5">
              <w:rPr>
                <w:lang w:val="en-AU"/>
              </w:rPr>
              <w:t>Świat</w:t>
            </w:r>
            <w:proofErr w:type="spellEnd"/>
            <w:r w:rsidRPr="003650B5">
              <w:rPr>
                <w:lang w:val="en-AU"/>
              </w:rPr>
              <w:t xml:space="preserve"> employees.</w:t>
            </w:r>
          </w:p>
        </w:tc>
      </w:tr>
      <w:tr w:rsidR="00C55E19" w:rsidRPr="003650B5" w14:paraId="0CD49527" w14:textId="77777777" w:rsidTr="008D4A3A">
        <w:tc>
          <w:tcPr>
            <w:tcW w:w="4675" w:type="dxa"/>
          </w:tcPr>
          <w:p w14:paraId="2CC06675" w14:textId="77777777" w:rsidR="00266F28" w:rsidRPr="003650B5" w:rsidRDefault="00266F28" w:rsidP="003650B5">
            <w:pPr>
              <w:pStyle w:val="Akapitzlist"/>
              <w:numPr>
                <w:ilvl w:val="0"/>
                <w:numId w:val="1"/>
              </w:numPr>
              <w:jc w:val="both"/>
              <w:rPr>
                <w:rFonts w:cs="Times New Roman"/>
              </w:rPr>
            </w:pPr>
            <w:r w:rsidRPr="003650B5">
              <w:rPr>
                <w:rFonts w:cs="Times New Roman"/>
              </w:rPr>
              <w:t>Wszystkie osoby naruszające porządek publiczny lub przepisy niniejszego Regulaminu, będą usuwane z atrakcji, a w wypadku ciężkich naruszeń również z terenu Suntago Wodny Świat, bez możliwości ubiegania się o zwrot poniesionych kosztów pobytu.</w:t>
            </w:r>
          </w:p>
          <w:p w14:paraId="24953FD6" w14:textId="77777777" w:rsidR="00C55E19" w:rsidRPr="003650B5" w:rsidRDefault="00C55E19" w:rsidP="003650B5">
            <w:pPr>
              <w:pStyle w:val="Akapitzlist"/>
              <w:rPr>
                <w:rFonts w:cs="Times New Roman"/>
              </w:rPr>
            </w:pPr>
          </w:p>
        </w:tc>
        <w:tc>
          <w:tcPr>
            <w:tcW w:w="4677" w:type="dxa"/>
          </w:tcPr>
          <w:p w14:paraId="0CBEBFE6" w14:textId="7B88F1F2" w:rsidR="00C55E19" w:rsidRPr="003650B5" w:rsidRDefault="00750CAB" w:rsidP="003650B5">
            <w:pPr>
              <w:pStyle w:val="Akapitzlist"/>
              <w:numPr>
                <w:ilvl w:val="0"/>
                <w:numId w:val="2"/>
              </w:numPr>
              <w:rPr>
                <w:rFonts w:cs="Times New Roman"/>
                <w:lang w:val="en-AU"/>
              </w:rPr>
            </w:pPr>
            <w:r w:rsidRPr="003650B5">
              <w:rPr>
                <w:lang w:val="en-AU"/>
              </w:rPr>
              <w:t>All persons violating public order or the provisions of these Regulations will be removed from the attractions, and in the event of serious violations also from the Suntago Water World area, without the possibility of applying for a refund of the costs of stay.</w:t>
            </w:r>
          </w:p>
        </w:tc>
      </w:tr>
      <w:tr w:rsidR="00750CAB" w:rsidRPr="003650B5" w14:paraId="37759698" w14:textId="77777777" w:rsidTr="000F0E2C">
        <w:tc>
          <w:tcPr>
            <w:tcW w:w="4675" w:type="dxa"/>
          </w:tcPr>
          <w:p w14:paraId="6FA8A8AB" w14:textId="77777777" w:rsidR="00C55E19" w:rsidRPr="009045F9" w:rsidRDefault="00C55E19" w:rsidP="003650B5">
            <w:pPr>
              <w:pStyle w:val="Akapitzlist"/>
              <w:numPr>
                <w:ilvl w:val="0"/>
                <w:numId w:val="2"/>
              </w:numPr>
              <w:rPr>
                <w:rFonts w:cs="Times New Roman"/>
                <w:b/>
                <w:bCs/>
              </w:rPr>
            </w:pPr>
            <w:r w:rsidRPr="009045F9">
              <w:rPr>
                <w:rFonts w:cs="Times New Roman"/>
              </w:rPr>
              <w:t>Doprowadzać do sytuacji w których zagrożone może być bezpieczeństwo nasze i innych osób</w:t>
            </w:r>
          </w:p>
        </w:tc>
        <w:tc>
          <w:tcPr>
            <w:tcW w:w="4677" w:type="dxa"/>
          </w:tcPr>
          <w:p w14:paraId="345B8E79" w14:textId="77777777" w:rsidR="00C55E19" w:rsidRPr="00106111" w:rsidRDefault="00C55E19" w:rsidP="003650B5">
            <w:pPr>
              <w:pStyle w:val="Akapitzlist"/>
              <w:numPr>
                <w:ilvl w:val="0"/>
                <w:numId w:val="2"/>
              </w:numPr>
              <w:rPr>
                <w:lang w:val="en-US"/>
              </w:rPr>
            </w:pPr>
            <w:r w:rsidRPr="00106111">
              <w:rPr>
                <w:lang w:val="en-US"/>
              </w:rPr>
              <w:t>To lead to situations where our safety and that of others may be at risk</w:t>
            </w:r>
          </w:p>
        </w:tc>
      </w:tr>
      <w:tr w:rsidR="00750CAB" w:rsidRPr="003650B5" w14:paraId="53988190" w14:textId="77777777" w:rsidTr="000F0E2C">
        <w:tc>
          <w:tcPr>
            <w:tcW w:w="4675" w:type="dxa"/>
          </w:tcPr>
          <w:p w14:paraId="351F0881" w14:textId="77777777" w:rsidR="00C55E19" w:rsidRPr="009045F9" w:rsidRDefault="00C55E19" w:rsidP="003650B5">
            <w:pPr>
              <w:pStyle w:val="Akapitzlist"/>
              <w:numPr>
                <w:ilvl w:val="0"/>
                <w:numId w:val="2"/>
              </w:numPr>
              <w:rPr>
                <w:rFonts w:cs="Times New Roman"/>
                <w:b/>
                <w:bCs/>
              </w:rPr>
            </w:pPr>
            <w:r w:rsidRPr="009045F9">
              <w:rPr>
                <w:rFonts w:cs="Times New Roman"/>
              </w:rPr>
              <w:t xml:space="preserve">Wchodzić na obszar Surf- </w:t>
            </w:r>
            <w:proofErr w:type="spellStart"/>
            <w:r w:rsidRPr="009045F9">
              <w:rPr>
                <w:rFonts w:cs="Times New Roman"/>
              </w:rPr>
              <w:t>Air</w:t>
            </w:r>
            <w:proofErr w:type="spellEnd"/>
            <w:r w:rsidRPr="009045F9">
              <w:rPr>
                <w:rFonts w:cs="Times New Roman"/>
              </w:rPr>
              <w:t xml:space="preserve"> przed uruchomieniem </w:t>
            </w:r>
          </w:p>
        </w:tc>
        <w:tc>
          <w:tcPr>
            <w:tcW w:w="4677" w:type="dxa"/>
          </w:tcPr>
          <w:p w14:paraId="02961B0D" w14:textId="77777777" w:rsidR="00C55E19" w:rsidRPr="00106111" w:rsidRDefault="00C55E19" w:rsidP="003650B5">
            <w:pPr>
              <w:pStyle w:val="Akapitzlist"/>
              <w:numPr>
                <w:ilvl w:val="0"/>
                <w:numId w:val="2"/>
              </w:numPr>
              <w:rPr>
                <w:lang w:val="en-US"/>
              </w:rPr>
            </w:pPr>
            <w:r w:rsidRPr="00106111">
              <w:rPr>
                <w:lang w:val="en-US"/>
              </w:rPr>
              <w:t>Enter the Surf-Air area before it is start up</w:t>
            </w:r>
          </w:p>
        </w:tc>
      </w:tr>
      <w:tr w:rsidR="00750CAB" w:rsidRPr="003650B5" w14:paraId="3462875A" w14:textId="77777777" w:rsidTr="000F0E2C">
        <w:tc>
          <w:tcPr>
            <w:tcW w:w="4675" w:type="dxa"/>
          </w:tcPr>
          <w:p w14:paraId="1CAF41DE" w14:textId="77777777" w:rsidR="00C55E19" w:rsidRPr="009045F9" w:rsidRDefault="00C55E19" w:rsidP="003650B5">
            <w:pPr>
              <w:pStyle w:val="Akapitzlist"/>
              <w:numPr>
                <w:ilvl w:val="0"/>
                <w:numId w:val="2"/>
              </w:numPr>
              <w:rPr>
                <w:rFonts w:cs="Times New Roman"/>
                <w:b/>
                <w:bCs/>
              </w:rPr>
            </w:pPr>
            <w:r w:rsidRPr="009045F9">
              <w:rPr>
                <w:rFonts w:cs="Times New Roman"/>
              </w:rPr>
              <w:t>Korzystać z Surf-</w:t>
            </w:r>
            <w:proofErr w:type="spellStart"/>
            <w:r w:rsidRPr="009045F9">
              <w:rPr>
                <w:rFonts w:cs="Times New Roman"/>
              </w:rPr>
              <w:t>Air</w:t>
            </w:r>
            <w:proofErr w:type="spellEnd"/>
            <w:r w:rsidRPr="009045F9">
              <w:rPr>
                <w:rFonts w:cs="Times New Roman"/>
              </w:rPr>
              <w:t xml:space="preserve"> z przedmiotami mogącymi spowodować uszkodzenia ciała: okulary, bransoletki, łańcuszki, kolczyki</w:t>
            </w:r>
          </w:p>
        </w:tc>
        <w:tc>
          <w:tcPr>
            <w:tcW w:w="4677" w:type="dxa"/>
          </w:tcPr>
          <w:p w14:paraId="0A7E8FE2" w14:textId="77777777" w:rsidR="00C55E19" w:rsidRPr="00106111" w:rsidRDefault="00C55E19" w:rsidP="003650B5">
            <w:pPr>
              <w:pStyle w:val="Akapitzlist"/>
              <w:numPr>
                <w:ilvl w:val="0"/>
                <w:numId w:val="2"/>
              </w:numPr>
              <w:rPr>
                <w:lang w:val="en-US"/>
              </w:rPr>
            </w:pPr>
            <w:r w:rsidRPr="00106111">
              <w:rPr>
                <w:lang w:val="en-US"/>
              </w:rPr>
              <w:t>Use Surf-Air with objects that can cause injury: glasses, bracelets, chains, earrings</w:t>
            </w:r>
          </w:p>
        </w:tc>
      </w:tr>
      <w:tr w:rsidR="00750CAB" w:rsidRPr="003650B5" w14:paraId="03B109FF" w14:textId="77777777" w:rsidTr="000F0E2C">
        <w:tc>
          <w:tcPr>
            <w:tcW w:w="4675" w:type="dxa"/>
          </w:tcPr>
          <w:p w14:paraId="42EF4EA7" w14:textId="77777777" w:rsidR="00C55E19" w:rsidRPr="009045F9" w:rsidRDefault="00C55E19" w:rsidP="003650B5">
            <w:pPr>
              <w:pStyle w:val="Akapitzlist"/>
              <w:numPr>
                <w:ilvl w:val="0"/>
                <w:numId w:val="2"/>
              </w:numPr>
              <w:rPr>
                <w:rFonts w:cs="Times New Roman"/>
                <w:b/>
                <w:bCs/>
              </w:rPr>
            </w:pPr>
            <w:r w:rsidRPr="009045F9">
              <w:rPr>
                <w:rFonts w:cs="Times New Roman"/>
              </w:rPr>
              <w:t>Korzystać w nieodpowiednim stroju</w:t>
            </w:r>
          </w:p>
        </w:tc>
        <w:tc>
          <w:tcPr>
            <w:tcW w:w="4677" w:type="dxa"/>
          </w:tcPr>
          <w:p w14:paraId="71A93707" w14:textId="77777777" w:rsidR="00C55E19" w:rsidRPr="00106111" w:rsidRDefault="00C55E19" w:rsidP="003650B5">
            <w:pPr>
              <w:pStyle w:val="Akapitzlist"/>
              <w:numPr>
                <w:ilvl w:val="0"/>
                <w:numId w:val="2"/>
              </w:numPr>
              <w:rPr>
                <w:lang w:val="en-US"/>
              </w:rPr>
            </w:pPr>
            <w:r w:rsidRPr="00106111">
              <w:rPr>
                <w:lang w:val="en-US"/>
              </w:rPr>
              <w:t>Use in the wrong outfit</w:t>
            </w:r>
          </w:p>
        </w:tc>
      </w:tr>
      <w:tr w:rsidR="00750CAB" w:rsidRPr="003650B5" w14:paraId="5E546A4E" w14:textId="77777777" w:rsidTr="000F0E2C">
        <w:tc>
          <w:tcPr>
            <w:tcW w:w="4675" w:type="dxa"/>
          </w:tcPr>
          <w:p w14:paraId="39D93841" w14:textId="77777777" w:rsidR="00C55E19" w:rsidRPr="009045F9" w:rsidRDefault="00C55E19" w:rsidP="003650B5">
            <w:pPr>
              <w:pStyle w:val="Akapitzlist"/>
              <w:numPr>
                <w:ilvl w:val="0"/>
                <w:numId w:val="2"/>
              </w:numPr>
            </w:pPr>
            <w:r w:rsidRPr="009045F9">
              <w:rPr>
                <w:rFonts w:cs="Times New Roman"/>
              </w:rPr>
              <w:t>Wpychania lub wrzucania innych osób do środka symulatora</w:t>
            </w:r>
          </w:p>
        </w:tc>
        <w:tc>
          <w:tcPr>
            <w:tcW w:w="4677" w:type="dxa"/>
          </w:tcPr>
          <w:p w14:paraId="5D4FED6E" w14:textId="77777777" w:rsidR="00C55E19" w:rsidRPr="00106111" w:rsidRDefault="00C55E19" w:rsidP="003650B5">
            <w:pPr>
              <w:pStyle w:val="Akapitzlist"/>
              <w:numPr>
                <w:ilvl w:val="0"/>
                <w:numId w:val="2"/>
              </w:numPr>
              <w:rPr>
                <w:lang w:val="en-US"/>
              </w:rPr>
            </w:pPr>
            <w:r w:rsidRPr="00106111">
              <w:rPr>
                <w:lang w:val="en-US"/>
              </w:rPr>
              <w:t>Pushing or throwing others into the simulator</w:t>
            </w:r>
          </w:p>
        </w:tc>
      </w:tr>
      <w:tr w:rsidR="00750CAB" w:rsidRPr="003650B5" w14:paraId="4D77C170" w14:textId="77777777" w:rsidTr="000F0E2C">
        <w:tc>
          <w:tcPr>
            <w:tcW w:w="4675" w:type="dxa"/>
          </w:tcPr>
          <w:p w14:paraId="677F07E7" w14:textId="77777777" w:rsidR="00C55E19" w:rsidRPr="009045F9" w:rsidRDefault="00C55E19" w:rsidP="003650B5">
            <w:pPr>
              <w:pStyle w:val="Akapitzlist"/>
              <w:numPr>
                <w:ilvl w:val="0"/>
                <w:numId w:val="2"/>
              </w:numPr>
              <w:rPr>
                <w:rFonts w:cs="Times New Roman"/>
                <w:b/>
                <w:bCs/>
              </w:rPr>
            </w:pPr>
            <w:r w:rsidRPr="009045F9">
              <w:rPr>
                <w:rFonts w:cs="Times New Roman"/>
              </w:rPr>
              <w:lastRenderedPageBreak/>
              <w:t>Wynosić deski poza wyznaczony obszar Surf-</w:t>
            </w:r>
            <w:proofErr w:type="spellStart"/>
            <w:r w:rsidRPr="009045F9">
              <w:rPr>
                <w:rFonts w:cs="Times New Roman"/>
              </w:rPr>
              <w:t>Air</w:t>
            </w:r>
            <w:proofErr w:type="spellEnd"/>
          </w:p>
        </w:tc>
        <w:tc>
          <w:tcPr>
            <w:tcW w:w="4677" w:type="dxa"/>
          </w:tcPr>
          <w:p w14:paraId="0F5F1365" w14:textId="77777777" w:rsidR="00C55E19" w:rsidRPr="00106111" w:rsidRDefault="00C55E19" w:rsidP="003650B5">
            <w:pPr>
              <w:pStyle w:val="Akapitzlist"/>
              <w:numPr>
                <w:ilvl w:val="0"/>
                <w:numId w:val="2"/>
              </w:numPr>
              <w:rPr>
                <w:lang w:val="en-US"/>
              </w:rPr>
            </w:pPr>
            <w:r w:rsidRPr="00106111">
              <w:rPr>
                <w:lang w:val="en-US"/>
              </w:rPr>
              <w:t>Take the boards out of the designated Surf-Air area</w:t>
            </w:r>
          </w:p>
        </w:tc>
      </w:tr>
    </w:tbl>
    <w:p w14:paraId="0644C4ED" w14:textId="77777777" w:rsidR="009D5B86" w:rsidRPr="003650B5" w:rsidRDefault="003650B5" w:rsidP="003650B5">
      <w:pPr>
        <w:rPr>
          <w:lang w:val="en-AU"/>
        </w:rPr>
      </w:pPr>
    </w:p>
    <w:sectPr w:rsidR="009D5B86" w:rsidRPr="00365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0DB7"/>
    <w:multiLevelType w:val="hybridMultilevel"/>
    <w:tmpl w:val="23F0F7DA"/>
    <w:lvl w:ilvl="0" w:tplc="6B9477BC">
      <w:start w:val="1"/>
      <w:numFmt w:val="decimal"/>
      <w:lvlText w:val="%1."/>
      <w:lvlJc w:val="left"/>
      <w:pPr>
        <w:ind w:left="360" w:hanging="360"/>
      </w:pPr>
      <w:rPr>
        <w:rFonts w:ascii="Calibri" w:eastAsia="Calibri" w:hAnsi="Calibri" w:cs="Calibri" w:hint="default"/>
      </w:rPr>
    </w:lvl>
    <w:lvl w:ilvl="1" w:tplc="2C007DE2">
      <w:start w:val="1"/>
      <w:numFmt w:val="lowerLetter"/>
      <w:lvlText w:val="%2)"/>
      <w:lvlJc w:val="left"/>
      <w:pPr>
        <w:ind w:left="1080" w:hanging="360"/>
      </w:pPr>
      <w:rPr>
        <w:rFonts w:ascii="Calibri" w:eastAsia="Calibri"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7E1228"/>
    <w:multiLevelType w:val="hybridMultilevel"/>
    <w:tmpl w:val="F33A9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1257ED"/>
    <w:multiLevelType w:val="hybridMultilevel"/>
    <w:tmpl w:val="84380238"/>
    <w:lvl w:ilvl="0" w:tplc="15EA0B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C73653"/>
    <w:multiLevelType w:val="hybridMultilevel"/>
    <w:tmpl w:val="D27C6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5D19B4"/>
    <w:multiLevelType w:val="hybridMultilevel"/>
    <w:tmpl w:val="7AE8B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46"/>
    <w:rsid w:val="000F0E2C"/>
    <w:rsid w:val="000F4659"/>
    <w:rsid w:val="00106111"/>
    <w:rsid w:val="00111E6A"/>
    <w:rsid w:val="00266F28"/>
    <w:rsid w:val="002C0C66"/>
    <w:rsid w:val="003234D9"/>
    <w:rsid w:val="003650B5"/>
    <w:rsid w:val="0037013C"/>
    <w:rsid w:val="00394DE2"/>
    <w:rsid w:val="0046586B"/>
    <w:rsid w:val="00650623"/>
    <w:rsid w:val="006F0B7E"/>
    <w:rsid w:val="00726F96"/>
    <w:rsid w:val="00750CAB"/>
    <w:rsid w:val="00764325"/>
    <w:rsid w:val="008D4A3A"/>
    <w:rsid w:val="009045F9"/>
    <w:rsid w:val="00B86579"/>
    <w:rsid w:val="00C55E19"/>
    <w:rsid w:val="00DB5B46"/>
    <w:rsid w:val="00EB1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7DD0"/>
  <w15:chartTrackingRefBased/>
  <w15:docId w15:val="{5359BE92-7A6C-4125-ABEF-71E5BC0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131C"/>
    <w:pPr>
      <w:ind w:left="720"/>
      <w:contextualSpacing/>
    </w:pPr>
  </w:style>
  <w:style w:type="character" w:styleId="Odwoaniedokomentarza">
    <w:name w:val="annotation reference"/>
    <w:basedOn w:val="Domylnaczcionkaakapitu"/>
    <w:uiPriority w:val="99"/>
    <w:semiHidden/>
    <w:unhideWhenUsed/>
    <w:rsid w:val="00764325"/>
    <w:rPr>
      <w:sz w:val="16"/>
      <w:szCs w:val="16"/>
    </w:rPr>
  </w:style>
  <w:style w:type="paragraph" w:styleId="Tekstkomentarza">
    <w:name w:val="annotation text"/>
    <w:basedOn w:val="Normalny"/>
    <w:link w:val="TekstkomentarzaZnak"/>
    <w:uiPriority w:val="99"/>
    <w:semiHidden/>
    <w:unhideWhenUsed/>
    <w:rsid w:val="007643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4325"/>
    <w:rPr>
      <w:sz w:val="20"/>
      <w:szCs w:val="20"/>
    </w:rPr>
  </w:style>
  <w:style w:type="paragraph" w:styleId="Tematkomentarza">
    <w:name w:val="annotation subject"/>
    <w:basedOn w:val="Tekstkomentarza"/>
    <w:next w:val="Tekstkomentarza"/>
    <w:link w:val="TematkomentarzaZnak"/>
    <w:uiPriority w:val="99"/>
    <w:semiHidden/>
    <w:unhideWhenUsed/>
    <w:rsid w:val="00764325"/>
    <w:rPr>
      <w:b/>
      <w:bCs/>
    </w:rPr>
  </w:style>
  <w:style w:type="character" w:customStyle="1" w:styleId="TematkomentarzaZnak">
    <w:name w:val="Temat komentarza Znak"/>
    <w:basedOn w:val="TekstkomentarzaZnak"/>
    <w:link w:val="Tematkomentarza"/>
    <w:uiPriority w:val="99"/>
    <w:semiHidden/>
    <w:rsid w:val="00764325"/>
    <w:rPr>
      <w:b/>
      <w:bCs/>
      <w:sz w:val="20"/>
      <w:szCs w:val="20"/>
    </w:rPr>
  </w:style>
  <w:style w:type="paragraph" w:styleId="Tekstdymka">
    <w:name w:val="Balloon Text"/>
    <w:basedOn w:val="Normalny"/>
    <w:link w:val="TekstdymkaZnak"/>
    <w:uiPriority w:val="99"/>
    <w:semiHidden/>
    <w:unhideWhenUsed/>
    <w:rsid w:val="00764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165069BE122FD4F9A87A2C9E6B0A8D6" ma:contentTypeVersion="8" ma:contentTypeDescription="צור מסמך חדש." ma:contentTypeScope="" ma:versionID="331ea10b308c95d0bba10ed984d276df">
  <xsd:schema xmlns:xsd="http://www.w3.org/2001/XMLSchema" xmlns:xs="http://www.w3.org/2001/XMLSchema" xmlns:p="http://schemas.microsoft.com/office/2006/metadata/properties" xmlns:ns3="c983b810-dbf8-4498-80b8-0287a81ed192" targetNamespace="http://schemas.microsoft.com/office/2006/metadata/properties" ma:root="true" ma:fieldsID="7012886d20031e89cc504f6dd60228a6" ns3:_="">
    <xsd:import namespace="c983b810-dbf8-4498-80b8-0287a81ed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810-dbf8-4498-80b8-0287a81ed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243A7-788E-4A72-B63A-CE3792F339F0}">
  <ds:schemaRefs>
    <ds:schemaRef ds:uri="http://schemas.microsoft.com/sharepoint/v3/contenttype/forms"/>
  </ds:schemaRefs>
</ds:datastoreItem>
</file>

<file path=customXml/itemProps2.xml><?xml version="1.0" encoding="utf-8"?>
<ds:datastoreItem xmlns:ds="http://schemas.openxmlformats.org/officeDocument/2006/customXml" ds:itemID="{E9EC0C4C-C9D5-4558-8389-C32594A2C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F40F1-079E-474F-926B-081E382D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810-dbf8-4498-80b8-0287a81e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Feliks</dc:creator>
  <cp:keywords/>
  <dc:description/>
  <cp:lastModifiedBy>Patrycja Bojdo</cp:lastModifiedBy>
  <cp:revision>2</cp:revision>
  <dcterms:created xsi:type="dcterms:W3CDTF">2020-08-18T10:57:00Z</dcterms:created>
  <dcterms:modified xsi:type="dcterms:W3CDTF">2020-08-18T10:57:00Z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0x0101001165069BE122FD4F9A87A2C9E6B0A8D6</vt:lpwstr>
  </property>
</Properties>
</file>